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df" ContentType="application/pdf"/>
  <Override PartName="/word/media/rId26.pdf" ContentType="application/pdf"/>
  <Override PartName="/word/media/rId27.pdf" ContentType="application/pdf"/>
  <Override PartName="/word/media/rId30.pdf" ContentType="application/pdf"/>
  <Override PartName="/word/media/rId22.pdf" ContentType="application/pdf"/>
  <Override PartName="/word/media/rId23.pdf" ContentType="application/pdf"/>
  <Override PartName="/word/media/rId28.pdf" ContentType="application/pdf"/>
  <Override PartName="/word/media/rId29.pdf" ContentType="application/pdf"/>
  <Override PartName="/word/media/rId24.pdf" ContentType="application/pdf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Alterations</w:t>
      </w:r>
      <w:r>
        <w:t xml:space="preserve"> </w:t>
      </w:r>
      <w:r>
        <w:t xml:space="preserve">of</w:t>
      </w:r>
      <w:r>
        <w:t xml:space="preserve"> </w:t>
      </w:r>
      <w:r>
        <w:t xml:space="preserve">blood</w:t>
      </w:r>
      <w:r>
        <w:t xml:space="preserve"> </w:t>
      </w:r>
      <w:r>
        <w:t xml:space="preserve">monocyte</w:t>
      </w:r>
      <w:r>
        <w:t xml:space="preserve"> </w:t>
      </w:r>
      <w:r>
        <w:t xml:space="preserve">subset</w:t>
      </w:r>
      <w:r>
        <w:t xml:space="preserve"> </w:t>
      </w:r>
      <w:r>
        <w:t xml:space="preserve">distribution</w:t>
      </w:r>
      <w:r>
        <w:t xml:space="preserve"> </w:t>
      </w:r>
      <w:r>
        <w:t xml:space="preserve">and</w:t>
      </w:r>
      <w:r>
        <w:t xml:space="preserve"> </w:t>
      </w:r>
      <w:r>
        <w:t xml:space="preserve">surface</w:t>
      </w:r>
      <w:r>
        <w:t xml:space="preserve"> </w:t>
      </w:r>
      <w:r>
        <w:t xml:space="preserve">phenotype</w:t>
      </w:r>
      <w:r>
        <w:t xml:space="preserve"> </w:t>
      </w:r>
      <w:r>
        <w:t xml:space="preserve">are</w:t>
      </w:r>
      <w:r>
        <w:t xml:space="preserve"> </w:t>
      </w:r>
      <w:r>
        <w:t xml:space="preserve">linked</w:t>
      </w:r>
      <w:r>
        <w:t xml:space="preserve"> </w:t>
      </w:r>
      <w:r>
        <w:t xml:space="preserve">to</w:t>
      </w:r>
      <w:r>
        <w:t xml:space="preserve"> </w:t>
      </w:r>
      <w:r>
        <w:t xml:space="preserve">infection</w:t>
      </w:r>
      <w:r>
        <w:t xml:space="preserve"> </w:t>
      </w:r>
      <w:r>
        <w:t xml:space="preserve">severity</w:t>
      </w:r>
      <w:r>
        <w:t xml:space="preserve"> </w:t>
      </w:r>
      <w:r>
        <w:t xml:space="preserve">in</w:t>
      </w:r>
      <w:r>
        <w:t xml:space="preserve"> </w:t>
      </w:r>
      <w:r>
        <w:t xml:space="preserve">COVID-19</w:t>
      </w:r>
      <w:r>
        <w:t xml:space="preserve"> </w:t>
      </w:r>
      <w:r>
        <w:t xml:space="preserve">inpatients</w:t>
      </w:r>
    </w:p>
    <w:p>
      <w:pPr>
        <w:pStyle w:val="Subtitle"/>
      </w:pPr>
      <w:r>
        <w:t xml:space="preserve">Supplementary</w:t>
      </w:r>
      <w:r>
        <w:t xml:space="preserve"> </w:t>
      </w:r>
      <w:r>
        <w:t xml:space="preserve">Material</w:t>
      </w:r>
    </w:p>
    <w:p>
      <w:pPr>
        <w:pStyle w:val="Date"/>
      </w:pPr>
      <w:r>
        <w:t xml:space="preserve">2022-03-25</w:t>
      </w:r>
    </w:p>
    <w:p>
      <w:r>
        <w:br w:type="page"/>
      </w:r>
    </w:p>
    <w:p>
      <w:pPr>
        <w:pStyle w:val="Heading1"/>
      </w:pPr>
      <w:bookmarkStart w:id="20" w:name="sec:tables"/>
      <w:r>
        <w:t xml:space="preserve">Supplementary Tables</w:t>
      </w:r>
      <w:bookmarkEnd w:id="20"/>
    </w:p>
    <w:p>
      <w:pPr>
        <w:pStyle w:val="Compact"/>
      </w:pPr>
      <w:bookmarkStart w:id="b6e7233d-6ec9-40cd-bcbb-6ccc4d81b9da" w:name="tab-chohort"/>
      <w:r>
        <w:rPr>
          <w:b/>
        </w:rPr>
        <w:t xml:space="preserve">Table 1:</w:t>
      </w:r>
      <w:r>
        <w:rPr>
          <w:b/>
        </w:rPr>
        <w:t xml:space="preserve"> </w:t>
      </w:r>
      <w:bookmarkEnd w:id="b6e7233d-6ec9-40cd-bcbb-6ccc4d81b9da"/>
      <w:r>
        <w:t xml:space="preserve">Characteristic of the healthy and COVID-19 study participants.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701"/>
        <w:gridCol w:w="1417"/>
        <w:gridCol w:w="1417"/>
        <w:gridCol w:w="1417"/>
        <w:gridCol w:w="1417"/>
        <w:gridCol w:w="1417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Variable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Healthy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Moderate COVID-19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Severe COVID-19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Comparison: all groups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Comparison: COVID-19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 participants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7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16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32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Age, years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37 (SD: 8.4)</w:t>
              <w:br/>
              <w:t xml:space="preserve">Median = 36 [IQR: 32 - 42]</w:t>
              <w:br/>
              <w:t xml:space="preserve">Range: 27 - 49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48 (SD: 18)</w:t>
              <w:br/>
              <w:t xml:space="preserve">Median = 46 [IQR: 38 - 60]</w:t>
              <w:br/>
              <w:t xml:space="preserve">Range: 18 - 78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69 (SD: 13)</w:t>
              <w:br/>
              <w:t xml:space="preserve">Median = 71 [IQR: 64 - 79]</w:t>
              <w:br/>
              <w:t xml:space="preserve">Range: 34 - 90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 &lt; 0.001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 &lt; 0.001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Sex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43% (n = 3)</w:t>
              <w:br/>
              <w:t xml:space="preserve">male: 57% (n = 4)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44% (n = 7)</w:t>
              <w:br/>
              <w:t xml:space="preserve">male: 56% (n = 9)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28% (n = 9)</w:t>
              <w:br/>
              <w:t xml:space="preserve">male: 72% (n = 23)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0.5)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0.45)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BMI, kg/m²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24 (SD: 3.2)</w:t>
              <w:br/>
              <w:t xml:space="preserve">Median = 23 [IQR: 22 - 24]</w:t>
              <w:br/>
              <w:t xml:space="preserve">Range: 20 - 30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26 (SD: 5.1)</w:t>
              <w:br/>
              <w:t xml:space="preserve">Median = 25 [IQR: 23 - 29]</w:t>
              <w:br/>
              <w:t xml:space="preserve">Range: 18 - 37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28 (SD: 6.3)</w:t>
              <w:br/>
              <w:t xml:space="preserve">Median = 26 [IQR: 23 - 33]</w:t>
              <w:br/>
              <w:t xml:space="preserve">Range: 18 - 44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0.16)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0.35)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Length of hospital stay, days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0 (SD: 0)</w:t>
              <w:br/>
              <w:t xml:space="preserve">Median = 0 [IQR: 0 - 0]</w:t>
              <w:br/>
              <w:t xml:space="preserve">Range: 0 - 0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7.7 (SD: 5.5)</w:t>
              <w:br/>
              <w:t xml:space="preserve">Median = 6 [IQR: 3.8 - 11]</w:t>
              <w:br/>
              <w:t xml:space="preserve">Range: 1 - 19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19 (SD: 26)</w:t>
              <w:br/>
              <w:t xml:space="preserve">Median = 12 [IQR: 9 - 16]</w:t>
              <w:br/>
              <w:t xml:space="preserve">Range: 4 - 140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 = 0.011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Oxygen therapy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100% (n = 32)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ICU stay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22% (n = 7)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Mortality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6.2% (n = 2)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gridSpan w:val="6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Body Mass Index</w:t>
            </w:r>
          </w:p>
        </w:tc>
      </w:tr>
      <w:tr>
        <w:trPr>
          <w:cantSplit/>
          <w:trHeight w:val="360" w:hRule="auto"/>
        </w:trPr>
        <w:tc>
          <w:tcPr>
            <w:gridSpan w:val="6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Kruskal-Wallis test</w:t>
            </w:r>
          </w:p>
        </w:tc>
      </w:tr>
      <w:tr>
        <w:trPr>
          <w:cantSplit/>
          <w:trHeight w:val="360" w:hRule="auto"/>
        </w:trPr>
        <w:tc>
          <w:tcPr>
            <w:gridSpan w:val="6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Mann-Whitney test</w:t>
            </w:r>
          </w:p>
        </w:tc>
      </w:tr>
      <w:tr>
        <w:trPr>
          <w:cantSplit/>
          <w:trHeight w:val="360" w:hRule="auto"/>
        </w:trPr>
        <w:tc>
          <w:tcPr>
            <w:gridSpan w:val="6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χ² test</w:t>
            </w:r>
          </w:p>
        </w:tc>
      </w:tr>
    </w:tbl>
    <w:p>
      <w:r>
        <w:br w:type="page"/>
      </w:r>
    </w:p>
    <w:p>
      <w:pPr>
        <w:pStyle w:val="Compact"/>
      </w:pPr>
      <w:bookmarkStart w:id="5f2b47bb-cffd-4f13-b7a9-494786ba86c4" w:name="tab-antibodies"/>
      <w:r>
        <w:rPr>
          <w:b/>
        </w:rPr>
        <w:t xml:space="preserve">Table 2:</w:t>
      </w:r>
      <w:r>
        <w:rPr>
          <w:b/>
        </w:rPr>
        <w:t xml:space="preserve"> </w:t>
      </w:r>
      <w:bookmarkEnd w:id="5f2b47bb-cffd-4f13-b7a9-494786ba86c4"/>
      <w:r>
        <w:t xml:space="preserve">Antibodies used for flow cytometry staining.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701"/>
        <w:gridCol w:w="1701"/>
        <w:gridCol w:w="1701"/>
        <w:gridCol w:w="1701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Staining type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Antigen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Clone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Fluorophore</w:t>
            </w:r>
          </w:p>
        </w:tc>
      </w:tr>
      <w:tr>
        <w:trPr>
          <w:cantSplit/>
          <w:trHeight w:val="360" w:hRule="auto"/>
        </w:trPr>
        <w:tc>
          <w:tcPr>
            <w:vMerge w:val="restart"/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backbone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HLA-DR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G46-6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BV421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MφP9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BB700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3G8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BV605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CD45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HI30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BV510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UCHT1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PE-Cy5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HIB19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PE-Cy5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CD56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B159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PE-Cy5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CD11b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M1/70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BB515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HI98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 700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CCR2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K036C2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PE-Cy7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CD62L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DREG-56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APC-Fire750</w:t>
            </w:r>
          </w:p>
        </w:tc>
      </w:tr>
      <w:tr>
        <w:trPr>
          <w:cantSplit/>
          <w:trHeight w:val="360" w:hRule="auto"/>
        </w:trPr>
        <w:tc>
          <w:tcPr>
            <w:vMerge w:val="restart"/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test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Isotype Rat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RTK2758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38G6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CD71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OKT9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CD163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GHI/61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5C3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CD80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2D10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IT2.2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10.1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Alexa647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Isotype Rat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X40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BV650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Isotype Mouse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P3.6.2.8.1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PE-eFluor610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MIH1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BV650</w:t>
            </w:r>
          </w:p>
        </w:tc>
      </w:tr>
      <w:tr>
        <w:trPr>
          <w:cantSplit/>
          <w:trHeight w:val="360" w:hRule="auto"/>
        </w:trPr>
        <w:tc>
          <w:tcPr>
            <w:vMerge/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CD279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J105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PE-eFluor610</w:t>
            </w:r>
          </w:p>
        </w:tc>
      </w:tr>
    </w:tbl>
    <w:p>
      <w:r>
        <w:br w:type="page"/>
      </w:r>
    </w:p>
    <w:p>
      <w:pPr>
        <w:pStyle w:val="Compact"/>
      </w:pPr>
      <w:bookmarkStart w:id="5bc00c34-5835-4089-965e-098dc9bafb5f" w:name="tab-cyto-vars"/>
      <w:r>
        <w:rPr>
          <w:b/>
        </w:rPr>
        <w:t xml:space="preserve">Table 3:</w:t>
      </w:r>
      <w:r>
        <w:rPr>
          <w:b/>
        </w:rPr>
        <w:t xml:space="preserve"> </w:t>
      </w:r>
      <w:bookmarkEnd w:id="5bc00c34-5835-4089-965e-098dc9bafb5f"/>
      <w:r>
        <w:t xml:space="preserve">Variables obtained from cytometry staining analyzed in the study.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3402"/>
        <w:gridCol w:w="1701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Variable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Unit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vertAlign w:val="superscript"/>
                <w:sz w:val="20"/>
                <w:szCs w:val="20"/>
                <w:color w:val="000000"/>
              </w:rPr>
              <w:t xml:space="preserve">1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percent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Classical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Classical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panMono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Intermediate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Intermediate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panMono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Non-classical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Non-classical monocyte percent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panMono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CD279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CD279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CD279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CD274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CD163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CD163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CD163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CD64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CD71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CD71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CD71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CD86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 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Class. monocyte 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Int. monocyte 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Non-class. monocyte FPN1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ΔMFI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Monocyte: Lymphocyte Ratio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Neutrophil: Lymphocyte Ratio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Lin-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% of CD45+</w:t>
            </w:r>
          </w:p>
        </w:tc>
      </w:tr>
      <w:tr>
        <w:trPr>
          <w:cantSplit/>
          <w:trHeight w:val="360" w:hRule="auto"/>
        </w:trPr>
        <w:tc>
          <w:tcPr>
            <w:gridSpan w:val="2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panMono: monocyte cluster cells defined by UMAP, ΔMFI: difference in median fluorescence intensity between the test antibody and isotype-stained sample</w:t>
            </w:r>
          </w:p>
        </w:tc>
      </w:tr>
    </w:tbl>
    <w:p>
      <w:r>
        <w:br w:type="page"/>
      </w:r>
    </w:p>
    <w:p>
      <w:pPr>
        <w:pStyle w:val="Compact"/>
      </w:pPr>
      <w:bookmarkStart w:id="641eb3ad-ea8f-45bd-9e22-bd1ca6ea8972" w:name="tab-cluster"/>
      <w:r>
        <w:rPr>
          <w:b/>
        </w:rPr>
        <w:t xml:space="preserve">Table 4:</w:t>
      </w:r>
      <w:r>
        <w:rPr>
          <w:b/>
        </w:rPr>
        <w:t xml:space="preserve"> </w:t>
      </w:r>
      <w:bookmarkEnd w:id="641eb3ad-ea8f-45bd-9e22-bd1ca6ea8972"/>
      <w:r>
        <w:t xml:space="preserve">Characteristic of COVID-19 patients assigned to the participant clusters defined by flow cytometry features.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701"/>
        <w:gridCol w:w="1304"/>
        <w:gridCol w:w="1304"/>
        <w:gridCol w:w="1304"/>
        <w:gridCol w:w="1304"/>
        <w:gridCol w:w="1134"/>
        <w:gridCol w:w="1417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Variable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Cluster #1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Cluster #2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Cluster #3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Cluster #4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Comparison: all groups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b/>
                <w:sz w:val="20"/>
                <w:szCs w:val="20"/>
                <w:color w:val="000000"/>
              </w:rPr>
              <w:t xml:space="preserve">Comaprison: Cluster #1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 COVID-19 patients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9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12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11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9</w:t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  <w:tc>
          <w:tcPr>
            <w:tcBorders>
              <w:bottom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Age, years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61 (SD: 17)</w:t>
              <w:br/>
              <w:t xml:space="preserve">Median = 68 [IQR: 46 - 75]</w:t>
              <w:br/>
              <w:t xml:space="preserve">Range: 35 - 79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58 (SD: 18)</w:t>
              <w:br/>
              <w:t xml:space="preserve">Median = 64 [IQR: 44 - 72]</w:t>
              <w:br/>
              <w:t xml:space="preserve">Range: 18 - 79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61 (SD: 20)</w:t>
              <w:br/>
              <w:t xml:space="preserve">Median = 69 [IQR: 58 - 73]</w:t>
              <w:br/>
              <w:t xml:space="preserve">Range: 24 - 79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61 (SD: 18)</w:t>
              <w:br/>
              <w:t xml:space="preserve">Median = 58 [IQR: 46 - 79]</w:t>
              <w:br/>
              <w:t xml:space="preserve">Range: 34 - 85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0.99)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0.93)</w:t>
              <w:br/>
              <w:t xml:space="preserve">#3: ns (p = 0.97)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Sex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22% (n = 2)</w:t>
              <w:br/>
              <w:t xml:space="preserve">male: 78% (n = 7)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50% (n = 6)</w:t>
              <w:br/>
              <w:t xml:space="preserve">male: 50% (n = 6)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45% (n = 5)</w:t>
              <w:br/>
              <w:t xml:space="preserve">male: 55% (n = 6)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female: 22% (n = 2)</w:t>
              <w:br/>
              <w:t xml:space="preserve">male: 78% (n = 7)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0.57)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0.8)</w:t>
              <w:br/>
              <w:t xml:space="preserve">#3: ns (p = 0.73)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BMI, kg/m²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26 (SD: 3.5)</w:t>
              <w:br/>
              <w:t xml:space="preserve">Median = 25 [IQR: 23 - 30]</w:t>
              <w:br/>
              <w:t xml:space="preserve">Range: 22 - 30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28 (SD: 8.8)</w:t>
              <w:br/>
              <w:t xml:space="preserve">Median = 24 [IQR: 22 - 36]</w:t>
              <w:br/>
              <w:t xml:space="preserve">Range: 18 - 44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27 (SD: 4.7)</w:t>
              <w:br/>
              <w:t xml:space="preserve">Median = 26 [IQR: 24 - 28]</w:t>
              <w:br/>
              <w:t xml:space="preserve">Range: 19 - 35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26 (SD: 4.9)</w:t>
              <w:br/>
              <w:t xml:space="preserve">Median = 26 [IQR: 23 - 28]</w:t>
              <w:br/>
              <w:t xml:space="preserve">Range: 20 - 35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0.99)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1)</w:t>
              <w:br/>
              <w:t xml:space="preserve">#3: ns (p = 0.88)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Length of hospital stay, days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11 (SD: 5.7)</w:t>
              <w:br/>
              <w:t xml:space="preserve">Median = 12 [IQR: 8 - 14]</w:t>
              <w:br/>
              <w:t xml:space="preserve">Range: 2 - 19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24 (SD: 40)</w:t>
              <w:br/>
              <w:t xml:space="preserve">Median = 11 [IQR: 6 - 20]</w:t>
              <w:br/>
              <w:t xml:space="preserve">Range: 4 - 140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12 (SD: 7)</w:t>
              <w:br/>
              <w:t xml:space="preserve">Median = 11 [IQR: 7.8 - 13]</w:t>
              <w:br/>
              <w:t xml:space="preserve">Range: 4 - 29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17 (SD: 20)</w:t>
              <w:br/>
              <w:t xml:space="preserve">Median = 9 [IQR: 9 - 11]</w:t>
              <w:br/>
              <w:t xml:space="preserve">Range: 4 - 67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0.99)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0.93)</w:t>
              <w:br/>
              <w:t xml:space="preserve">#3: ns (p = 0.97)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Oxygen therapy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44% (n = 4)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58% (n = 7)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73% (n = 8)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89% (n = 8)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0.37)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0.93)</w:t>
              <w:br/>
              <w:t xml:space="preserve">#3: ns (p = 0.7)</w:t>
              <w:br/>
              <w:t xml:space="preserve">#4: ns (p = 0.39)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ICU stay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0% (n = 0)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25% (n = 3)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18% (n = 2)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11% (n = 1)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0.57)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0.77)</w:t>
              <w:br/>
              <w:t xml:space="preserve">#3: ns (p = 0.73)</w:t>
              <w:br/>
              <w:t xml:space="preserve">#4: ns (p = 1)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IL6, pg/mL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27 (SD: 41)</w:t>
              <w:br/>
              <w:t xml:space="preserve">Median = 8.3 [IQR: 2.7 - 25]</w:t>
              <w:br/>
              <w:t xml:space="preserve">Range: 1.5 - 120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24 (SD: 29)</w:t>
              <w:br/>
              <w:t xml:space="preserve">Median = 8.4 [IQR: 3.2 - 36]</w:t>
              <w:br/>
              <w:t xml:space="preserve">Range: 1.5 - 76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41 (SD: 25)</w:t>
              <w:br/>
              <w:t xml:space="preserve">Median = 28 [IQR: 23 - 45]</w:t>
              <w:br/>
              <w:t xml:space="preserve">Range: 21 - 89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47 (SD: 55)</w:t>
              <w:br/>
              <w:t xml:space="preserve">Median = 16 [IQR: 5.2 - 77]</w:t>
              <w:br/>
              <w:t xml:space="preserve">Range: 2.4 - 160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0.27)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0.93)</w:t>
              <w:br/>
              <w:t xml:space="preserve">#3: ns (p = 0.14)</w:t>
              <w:br/>
              <w:t xml:space="preserve">#4: ns (p = 0.57)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CRP, mg/L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1.9 (SD: 2.6)</w:t>
              <w:br/>
              <w:t xml:space="preserve">Median = 0.33 [IQR: 0.21 - 2.8]</w:t>
              <w:br/>
              <w:t xml:space="preserve">Range: 0.06 - 8.1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3.2 (SD: 3.6)</w:t>
              <w:br/>
              <w:t xml:space="preserve">Median = 1.1 [IQR: 0.69 - 5.4]</w:t>
              <w:br/>
              <w:t xml:space="preserve">Range: 0.06 - 11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5.3 (SD: 3.2)</w:t>
              <w:br/>
              <w:t xml:space="preserve">Median = 3.2 [IQR: 2.7 - 7.5]</w:t>
              <w:br/>
              <w:t xml:space="preserve">Range: 2.4 - 11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 (SD: 4.4)</w:t>
              <w:br/>
              <w:t xml:space="preserve">Median = 7.5 [IQR: 1.5 - 9.4]</w:t>
              <w:br/>
              <w:t xml:space="preserve">Range: 0.77 - 12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0.14)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0.77)</w:t>
              <w:br/>
              <w:t xml:space="preserve">#3: p = 0.05</w:t>
              <w:br/>
              <w:t xml:space="preserve">#4: ns (p = 0.13)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Neopterin, nmol/L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21 (SD: 23)</w:t>
              <w:br/>
              <w:t xml:space="preserve">Median = 13 [IQR: 6.3 - 29]</w:t>
              <w:br/>
              <w:t xml:space="preserve">Range: 4.1 - 74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75 (SD: 110)</w:t>
              <w:br/>
              <w:t xml:space="preserve">Median = 39 [IQR: 28 - 51]</w:t>
              <w:br/>
              <w:t xml:space="preserve">Range: 16 - 410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44 (SD: 11)</w:t>
              <w:br/>
              <w:t xml:space="preserve">Median = 40 [IQR: 39 - 43]</w:t>
              <w:br/>
              <w:t xml:space="preserve">Range: 35 - 72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52 (SD: 28)</w:t>
              <w:br/>
              <w:t xml:space="preserve">Median = 53 [IQR: 33 - 61]</w:t>
              <w:br/>
              <w:t xml:space="preserve">Range: 18 - 100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0.14)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0.15)</w:t>
              <w:br/>
              <w:t xml:space="preserve">#3: p = 0.05</w:t>
              <w:br/>
              <w:t xml:space="preserve">#4: ns (p = 0.13)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Ferritin, ng/mL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410 (SD: 330)</w:t>
              <w:br/>
              <w:t xml:space="preserve">Median = 240 [IQR: 180 - 760]</w:t>
              <w:br/>
              <w:t xml:space="preserve">Range: 88 - 950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320 (SD: 340)</w:t>
              <w:br/>
              <w:t xml:space="preserve">Median = 200 [IQR: 140 - 330]</w:t>
              <w:br/>
              <w:t xml:space="preserve">Range: 29 - 1200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640 (SD: 380)</w:t>
              <w:br/>
              <w:t xml:space="preserve">Median = 530 [IQR: 350 - 880]</w:t>
              <w:br/>
              <w:t xml:space="preserve">Range: 230 - 1200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690 (SD: 560)</w:t>
              <w:br/>
              <w:t xml:space="preserve">Median = 500 [IQR: 400 - 900]</w:t>
              <w:br/>
              <w:t xml:space="preserve">Range: 91 - 2000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0.22)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0.8)</w:t>
              <w:br/>
              <w:t xml:space="preserve">#3: ns (p = 0.26)</w:t>
              <w:br/>
              <w:t xml:space="preserve">#4: ns (p = 0.52)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Iron, µM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12 (SD: 7.4)</w:t>
              <w:br/>
              <w:t xml:space="preserve">Median = 10 [IQR: 6.8 - 16]</w:t>
              <w:br/>
              <w:t xml:space="preserve">Range: 4 - 27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7.1 (SD: 5.6)</w:t>
              <w:br/>
              <w:t xml:space="preserve">Median = 4.6 [IQR: 3.6 - 7.9]</w:t>
              <w:br/>
              <w:t xml:space="preserve">Range: 2.3 - 20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5.2 (SD: 2.6)</w:t>
              <w:br/>
              <w:t xml:space="preserve">Median = 4.6 [IQR: 3.2 - 6.4]</w:t>
              <w:br/>
              <w:t xml:space="preserve">Range: 2.2 - 9.9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7.7 (SD: 7.3)</w:t>
              <w:br/>
              <w:t xml:space="preserve">Median = 4.5 [IQR: 3 - 9.4]</w:t>
              <w:br/>
              <w:t xml:space="preserve">Range: 1.3 - 21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0.27)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4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0.38)</w:t>
              <w:br/>
              <w:t xml:space="preserve">#3: p = 0.05</w:t>
              <w:br/>
              <w:t xml:space="preserve">#4: ns (p = 0.39)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 TF-Sat, %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25 (SD: 14)</w:t>
              <w:br/>
              <w:t xml:space="preserve">Median = 21 [IQR: 17 - 31]</w:t>
              <w:br/>
              <w:t xml:space="preserve">Range: 8 - 52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14 (SD: 11)</w:t>
              <w:br/>
              <w:t xml:space="preserve">Median = 9.5 [IQR: 7 - 14]</w:t>
              <w:br/>
              <w:t xml:space="preserve">Range: 4 - 40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14 (SD: 8.8)</w:t>
              <w:br/>
              <w:t xml:space="preserve">Median = 9 [IQR: 7 - 18]</w:t>
              <w:br/>
              <w:t xml:space="preserve">Range: 5 - 30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Mean = 16 (SD: 13)</w:t>
              <w:br/>
              <w:t xml:space="preserve">Median = 12 [IQR: 7 - 20]</w:t>
              <w:br/>
              <w:t xml:space="preserve">Range: 4 - 39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ns (p = 0.27)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</w:p>
        </w:tc>
        <w:tc>
          <w:tcPr>
            <w:tcBorders>
              <w:bottom w:val="single" w:sz="16" w:space="0" w:color="666666"/>
              <w:top w:val="single" w:sz="4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#2: ns (p = 0.16)</w:t>
              <w:br/>
              <w:t xml:space="preserve">#3: ns (p = 0.1)</w:t>
              <w:br/>
              <w:t xml:space="preserve">#4: ns (p = 0.37)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gridSpan w:val="7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Body Mass Index</w:t>
            </w:r>
          </w:p>
        </w:tc>
      </w:tr>
      <w:tr>
        <w:trPr>
          <w:cantSplit/>
          <w:trHeight w:val="360" w:hRule="auto"/>
        </w:trPr>
        <w:tc>
          <w:tcPr>
            <w:gridSpan w:val="7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2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Kruskal-Wallis test</w:t>
            </w:r>
          </w:p>
        </w:tc>
      </w:tr>
      <w:tr>
        <w:trPr>
          <w:cantSplit/>
          <w:trHeight w:val="360" w:hRule="auto"/>
        </w:trPr>
        <w:tc>
          <w:tcPr>
            <w:gridSpan w:val="7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3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Mann-Whitney test</w:t>
            </w:r>
          </w:p>
        </w:tc>
      </w:tr>
      <w:tr>
        <w:trPr>
          <w:cantSplit/>
          <w:trHeight w:val="360" w:hRule="auto"/>
        </w:trPr>
        <w:tc>
          <w:tcPr>
            <w:gridSpan w:val="7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vertAlign w:val="superscript"/>
                <w:sz w:val="20"/>
                <w:szCs w:val="20"/>
                <w:color w:val="000000"/>
              </w:rPr>
              <w:t xml:space="preserve">4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mbria" w:hAnsi="Cambria" w:eastAsia="Cambria" w:cs="Cambria"/>
                <w:sz w:val="20"/>
                <w:szCs w:val="20"/>
                <w:color w:val="000000"/>
              </w:rPr>
              <w:t xml:space="preserve">χ² test</w:t>
            </w:r>
          </w:p>
        </w:tc>
      </w:tr>
    </w:tbl>
    <w:p>
      <w:r>
        <w:br w:type="page"/>
      </w:r>
    </w:p>
    <w:p>
      <w:pPr>
        <w:pStyle w:val="Compact"/>
      </w:pPr>
      <w:bookmarkStart w:id="861200c3-15b7-4d8f-801a-a350cc428795" w:name="tab-data"/>
      <w:r>
        <w:rPr>
          <w:b/>
        </w:rPr>
        <w:t xml:space="preserve">Table 5:</w:t>
      </w:r>
      <w:r>
        <w:rPr>
          <w:b/>
        </w:rPr>
        <w:t xml:space="preserve"> </w:t>
      </w:r>
      <w:bookmarkEnd w:id="861200c3-15b7-4d8f-801a-a350cc428795"/>
      <w:r>
        <w:t xml:space="preserve">Complete study dataset. The table is available as a supplementary Excel file.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> 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000000"/>
              </w:rPr>
              <w:t xml:space="preserve"/>
            </w:r>
          </w:p>
        </w:tc>
      </w:tr>
    </w:tbl>
    <w:p>
      <w:r>
        <w:br w:type="page"/>
      </w:r>
    </w:p>
    <w:p>
      <w:pPr>
        <w:pStyle w:val="Heading1"/>
      </w:pPr>
      <w:bookmarkStart w:id="21" w:name="sec:figures"/>
      <w:r>
        <w:t xml:space="preserve">Supplementary Figures</w:t>
      </w:r>
      <w:bookmarkEnd w:id="21"/>
    </w:p>
    <w:p>
      <w:pPr>
        <w:pStyle w:val="CaptionedFigure"/>
      </w:pPr>
      <w:r>
        <w:drawing>
          <wp:inline>
            <wp:extent cx="5943600" cy="6141720"/>
            <wp:effectExtent b="0" l="0" r="0" t="0"/>
            <wp:docPr descr="Figure 1: Gating strategy and identification of blood neutrophils and monocytes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gating-strategy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1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Gating strategy and identification of blood neutrophils and monocytes.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rPr>
          <w:b/>
        </w:rPr>
        <w:t xml:space="preserve">. Gating strategy and identification of blood neutrophils and monocytes.</w:t>
      </w:r>
    </w:p>
    <w:p>
      <w:pPr>
        <w:pStyle w:val="TextBody"/>
      </w:pPr>
      <w:r>
        <w:t xml:space="preserve">Lin: lineage staining (CD3, CD19, CD56). Neutrophils were identified within the CD45</w:t>
      </w:r>
      <w:r>
        <w:rPr>
          <w:vertAlign w:val="superscript"/>
        </w:rPr>
        <w:t xml:space="preserve">+</w:t>
      </w:r>
      <w:r>
        <w:t xml:space="preserve"> </w:t>
      </w:r>
      <w:r>
        <w:t xml:space="preserve">Lin</w:t>
      </w:r>
      <w:r>
        <w:rPr>
          <w:vertAlign w:val="superscript"/>
        </w:rPr>
        <w:t xml:space="preserve">-</w:t>
      </w:r>
      <w:r>
        <w:t xml:space="preserve"> </w:t>
      </w:r>
      <w:r>
        <w:t xml:space="preserve">blood leukocyte subset by logical gating (AND) of CD16</w:t>
      </w:r>
      <w:r>
        <w:rPr>
          <w:vertAlign w:val="superscript"/>
        </w:rPr>
        <w:t xml:space="preserve">+</w:t>
      </w:r>
      <w:r>
        <w:t xml:space="preserve">, CD62L</w:t>
      </w:r>
      <w:r>
        <w:rPr>
          <w:vertAlign w:val="superscript"/>
        </w:rPr>
        <w:t xml:space="preserve">+</w:t>
      </w:r>
      <w:r>
        <w:t xml:space="preserve">, CD11b</w:t>
      </w:r>
      <w:r>
        <w:rPr>
          <w:vertAlign w:val="superscript"/>
        </w:rPr>
        <w:t xml:space="preserve">+</w:t>
      </w:r>
      <w:r>
        <w:t xml:space="preserve"> </w:t>
      </w:r>
      <w:r>
        <w:t xml:space="preserve">and SSC</w:t>
      </w:r>
      <w:r>
        <w:rPr>
          <w:vertAlign w:val="superscript"/>
        </w:rPr>
        <w:t xml:space="preserve">hi</w:t>
      </w:r>
      <w:r>
        <w:t xml:space="preserve"> </w:t>
      </w:r>
      <w:r>
        <w:t xml:space="preserve">events. To identify monocytes, the non-neutrophil cells (NOT logical gate) were subjected to UMAP (uniform manifold approximation and projection, euclidean distance, k = 9 nearest neighbors, distance cutoff = 0.5) in respect to HLA-DR, CD11b, CD14, CD16, CCR2, CX3CR1, CD62L and CD15 signals. The monocyte cluster was distinguished by high expression of HLA-DR, CD14, CCR2 and CX3CR1.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91348"/>
            <wp:effectExtent b="0" l="0" r="0" t="0"/>
            <wp:docPr descr="Figure 2: Identification of blood monocyte subsets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monocyte-subsets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1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Identification of blood monocyte subsets.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2</w:t>
      </w:r>
      <w:r>
        <w:rPr>
          <w:b/>
        </w:rPr>
        <w:t xml:space="preserve">. Identification of blood monocyte subsets.</w:t>
      </w:r>
    </w:p>
    <w:p>
      <w:pPr>
        <w:pStyle w:val="TextBody"/>
      </w:pPr>
      <w:r>
        <w:t xml:space="preserve">Monocyte cluster cells were identified as presented in</w:t>
      </w:r>
      <w:r>
        <w:t xml:space="preserve"> </w:t>
      </w: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t xml:space="preserve">. Classical monocytes were defined as CD14</w:t>
      </w:r>
      <w:r>
        <w:rPr>
          <w:vertAlign w:val="superscript"/>
        </w:rPr>
        <w:t xml:space="preserve">hi</w:t>
      </w:r>
      <w:r>
        <w:t xml:space="preserve"> </w:t>
      </w:r>
      <w:r>
        <w:t xml:space="preserve">CD16</w:t>
      </w:r>
      <w:r>
        <w:rPr>
          <w:vertAlign w:val="superscript"/>
        </w:rPr>
        <w:t xml:space="preserve">-/lo</w:t>
      </w:r>
      <w:r>
        <w:t xml:space="preserve"> </w:t>
      </w:r>
      <w:r>
        <w:t xml:space="preserve">CCR2</w:t>
      </w:r>
      <w:r>
        <w:rPr>
          <w:vertAlign w:val="superscript"/>
        </w:rPr>
        <w:t xml:space="preserve">hi</w:t>
      </w:r>
      <w:r>
        <w:t xml:space="preserve"> </w:t>
      </w:r>
      <w:r>
        <w:t xml:space="preserve">HLA-DR</w:t>
      </w:r>
      <w:r>
        <w:rPr>
          <w:vertAlign w:val="superscript"/>
        </w:rPr>
        <w:t xml:space="preserve">+</w:t>
      </w:r>
      <w:r>
        <w:t xml:space="preserve"> </w:t>
      </w:r>
      <w:r>
        <w:t xml:space="preserve">CX3CR1</w:t>
      </w:r>
      <w:r>
        <w:rPr>
          <w:vertAlign w:val="superscript"/>
        </w:rPr>
        <w:t xml:space="preserve">lo</w:t>
      </w:r>
      <w:r>
        <w:t xml:space="preserve"> </w:t>
      </w:r>
      <w:r>
        <w:t xml:space="preserve">monocyte cluster cells. Intermediate monocytes were defined as CD14</w:t>
      </w:r>
      <w:r>
        <w:rPr>
          <w:vertAlign w:val="superscript"/>
        </w:rPr>
        <w:t xml:space="preserve">int/hi</w:t>
      </w:r>
      <w:r>
        <w:t xml:space="preserve"> </w:t>
      </w:r>
      <w:r>
        <w:t xml:space="preserve">CD16</w:t>
      </w:r>
      <w:r>
        <w:rPr>
          <w:vertAlign w:val="superscript"/>
        </w:rPr>
        <w:t xml:space="preserve">+</w:t>
      </w:r>
      <w:r>
        <w:t xml:space="preserve"> </w:t>
      </w:r>
      <w:r>
        <w:t xml:space="preserve">CCR2</w:t>
      </w:r>
      <w:r>
        <w:rPr>
          <w:vertAlign w:val="superscript"/>
        </w:rPr>
        <w:t xml:space="preserve">int</w:t>
      </w:r>
      <w:r>
        <w:t xml:space="preserve"> </w:t>
      </w:r>
      <w:r>
        <w:t xml:space="preserve">HLA-DR</w:t>
      </w:r>
      <w:r>
        <w:rPr>
          <w:vertAlign w:val="superscript"/>
        </w:rPr>
        <w:t xml:space="preserve">bright</w:t>
      </w:r>
      <w:r>
        <w:t xml:space="preserve"> </w:t>
      </w:r>
      <w:r>
        <w:t xml:space="preserve">CX3CR1</w:t>
      </w:r>
      <w:r>
        <w:rPr>
          <w:vertAlign w:val="superscript"/>
        </w:rPr>
        <w:t xml:space="preserve">lo</w:t>
      </w:r>
      <w:r>
        <w:t xml:space="preserve"> </w:t>
      </w:r>
      <w:r>
        <w:t xml:space="preserve">monocyte cluster cells. Non-classical monocytes were defined as CD14</w:t>
      </w:r>
      <w:r>
        <w:rPr>
          <w:vertAlign w:val="superscript"/>
        </w:rPr>
        <w:t xml:space="preserve">lo</w:t>
      </w:r>
      <w:r>
        <w:t xml:space="preserve"> </w:t>
      </w:r>
      <w:r>
        <w:t xml:space="preserve">Cd16</w:t>
      </w:r>
      <w:r>
        <w:rPr>
          <w:vertAlign w:val="superscript"/>
        </w:rPr>
        <w:t xml:space="preserve">+</w:t>
      </w:r>
      <w:r>
        <w:t xml:space="preserve"> </w:t>
      </w:r>
      <w:r>
        <w:t xml:space="preserve">CCR2</w:t>
      </w:r>
      <w:r>
        <w:rPr>
          <w:vertAlign w:val="superscript"/>
        </w:rPr>
        <w:t xml:space="preserve">low</w:t>
      </w:r>
      <w:r>
        <w:t xml:space="preserve"> </w:t>
      </w:r>
      <w:r>
        <w:t xml:space="preserve">HLA-DR</w:t>
      </w:r>
      <w:r>
        <w:rPr>
          <w:vertAlign w:val="superscript"/>
        </w:rPr>
        <w:t xml:space="preserve">+</w:t>
      </w:r>
      <w:r>
        <w:t xml:space="preserve"> </w:t>
      </w:r>
      <w:r>
        <w:t xml:space="preserve">CX3CR1</w:t>
      </w:r>
      <w:r>
        <w:rPr>
          <w:vertAlign w:val="superscript"/>
        </w:rPr>
        <w:t xml:space="preserve">+</w:t>
      </w:r>
      <w:r>
        <w:t xml:space="preserve"> </w:t>
      </w:r>
      <w:r>
        <w:t xml:space="preserve">monocyte cluster cells.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4615030"/>
            <wp:effectExtent b="0" l="0" r="0" t="0"/>
            <wp:docPr descr="Figure 3: Systemic inflammation and iron turnover markers in hospitalized COVID-19 subjects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systemic-inflammation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5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Systemic inflammation and iron turnover markers in hospitalized COVID-19 subjects.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3</w:t>
      </w:r>
      <w:r>
        <w:rPr>
          <w:b/>
        </w:rPr>
        <w:t xml:space="preserve">. Systemic inflammation and iron turnover markers in hospitalized COVID-19 subjects.</w:t>
      </w:r>
    </w:p>
    <w:p>
      <w:pPr>
        <w:pStyle w:val="TextBody"/>
      </w:pPr>
      <w:r>
        <w:t xml:space="preserve">Markers of systemic inflammation (</w:t>
      </w:r>
      <w:r>
        <w:rPr>
          <w:b/>
        </w:rPr>
        <w:t xml:space="preserve">A</w:t>
      </w:r>
      <w:r>
        <w:t xml:space="preserve">): C-reactive protein (CRP), interleukin-6 (IL6), neopterin, and iron turnover (</w:t>
      </w:r>
      <w:r>
        <w:rPr>
          <w:b/>
        </w:rPr>
        <w:t xml:space="preserve">B</w:t>
      </w:r>
      <w:r>
        <w:t xml:space="preserve">): ferritin, iron and transferrin saturation (TF-Sat), were determined in plasma of moderate and severe COVID-19 study participants at hospital admission. Statistical significance was determined by Mann-Whitney U test with Benjamini-Hochberg adjustment for multiple testing. P values are indicated in the plot sub-heading, numbers of complete observations are presented next to the plots. Each point represents a single observation, boxes represent medians with interquartile range (IQR), whiskers span over the 150% IQR range. Blue dashed lines represent the normal range of the parameter.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5943600"/>
            <wp:effectExtent b="0" l="0" r="0" t="0"/>
            <wp:docPr descr="Figure 4: Regulation of the monocyte subset markers HLA-DR, CCR2 and CX3CR1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backbone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Regulation of the monocyte subset markers HLA-DR, CCR2 and CX3CR1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4</w:t>
      </w:r>
      <w:r>
        <w:rPr>
          <w:b/>
        </w:rPr>
        <w:t xml:space="preserve">. Regulation of the monocyte subset markers HLA-DR, CCR2 and CX3CR1 in healthy controls, moderate and severe COVID-19.</w:t>
      </w:r>
    </w:p>
    <w:p>
      <w:pPr>
        <w:pStyle w:val="TextBody"/>
      </w:pPr>
      <w:r>
        <w:t xml:space="preserve">Surface expression of HLA-DR (</w:t>
      </w:r>
      <w:r>
        <w:rPr>
          <w:b/>
        </w:rPr>
        <w:t xml:space="preserve">A</w:t>
      </w:r>
      <w:r>
        <w:t xml:space="preserve">), CCR2 (</w:t>
      </w:r>
      <w:r>
        <w:rPr>
          <w:b/>
        </w:rPr>
        <w:t xml:space="preserve">B</w:t>
      </w:r>
      <w:r>
        <w:t xml:space="preserve">) and CX3CR1 (</w:t>
      </w:r>
      <w:r>
        <w:rPr>
          <w:b/>
        </w:rPr>
        <w:t xml:space="preserve">C</w:t>
      </w:r>
      <w:r>
        <w:t xml:space="preserve">) in classical, intermediate and non-classical monocytes (</w:t>
      </w:r>
      <w:r>
        <w:rPr>
          <w:b/>
        </w:rPr>
        <w:t xml:space="preserve">Supplementary Figure S</w:t>
      </w:r>
      <w:r>
        <w:rPr>
          <w:b/>
        </w:rPr>
        <w:t xml:space="preserve">2</w:t>
      </w:r>
      <w:r>
        <w:t xml:space="preserve">) was measured as mean fluorescence intensity (MFI) in healthy controls, moderate and severe COVID-19 patients. Statistical significance of the expression differences between the monocyte subsets was determined with Friedman test (grouping factor: cell donor) with Benjamini-Hochberg adjustment for multiple testing. P values are indicated in the plot sub-heading, numbers of cell donors are presented next to the plots. Each point represents a single observation, gray lines connect values obtained from the same cell donor.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2971800"/>
            <wp:effectExtent b="0" l="0" r="0" t="0"/>
            <wp:docPr descr="Figure 5: Regulation of neutrophil CD14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cd14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Regulation of neutrophil CD14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5</w:t>
      </w:r>
      <w:r>
        <w:rPr>
          <w:b/>
        </w:rPr>
        <w:t xml:space="preserve">. Regulation of neutrophil CD14 in healthy controls, moderate and severe COVID-19.</w:t>
      </w:r>
    </w:p>
    <w:p>
      <w:pPr>
        <w:pStyle w:val="TextBody"/>
      </w:pPr>
      <w:r>
        <w:t xml:space="preserve">Surface expression of neutrophil CD14 (</w:t>
      </w: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t xml:space="preserve">) was measured as mean fluorescence intensity (MFI) in healthy controls, moderate and severe COVID-19 patients. Statistical significance was determined by Kruskal-Wallis test with Mann-Whitney post-hoc test. Testing results were adjusted for multiple comparisons with Benjamini-Hochberg method. Kruskal-Wallis p values are indicated in the plot sub-heading, post-hoc test results are shown in the plot, numbers of complete observations are presented next to the plot. Each point represents a single observation, boxes represent medians with interquartile range (IQR), whiskers span over the 150% IQR range.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7260515"/>
            <wp:effectExtent b="0" l="0" r="0" t="0"/>
            <wp:docPr descr="Figure 6: Cytometry markers of myeloid leukocyte expansion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cell-inflammation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0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Cytometry markers of myeloid leukocyte expansion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6</w:t>
      </w:r>
      <w:r>
        <w:rPr>
          <w:b/>
        </w:rPr>
        <w:t xml:space="preserve">. Cytometry markers of myeloid leukocyte expansion in healthy controls, moderate and severe COVID-19.</w:t>
      </w:r>
    </w:p>
    <w:p>
      <w:pPr>
        <w:pStyle w:val="TextBody"/>
      </w:pPr>
      <w:r>
        <w:t xml:space="preserve">Percentages of lineage-negative cells (Lin</w:t>
      </w:r>
      <w:r>
        <w:rPr>
          <w:vertAlign w:val="superscript"/>
        </w:rPr>
        <w:t xml:space="preserve">-</w:t>
      </w:r>
      <w:r>
        <w:t xml:space="preserve">) and neutrophils within the CD45</w:t>
      </w:r>
      <w:r>
        <w:rPr>
          <w:vertAlign w:val="superscript"/>
        </w:rPr>
        <w:t xml:space="preserve">+</w:t>
      </w:r>
      <w:r>
        <w:t xml:space="preserve"> </w:t>
      </w:r>
      <w:r>
        <w:t xml:space="preserve">leukocyte compartment and neutrophil:leukocyte ratio (</w:t>
      </w: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t xml:space="preserve">) were measured in healthy controls, moderate and severe COVID-19 patients. Statistical significance was determined by Kruskal-Wallis test with Mann-Whitney post-hoc test. Testing results were adjusted for multiple comparisons with Benjamini-Hochberg method.</w:t>
      </w:r>
    </w:p>
    <w:p>
      <w:pPr>
        <w:pStyle w:val="TextBody"/>
      </w:pPr>
      <w:r>
        <w:rPr>
          <w:b/>
        </w:rPr>
        <w:t xml:space="preserve">(A)</w:t>
      </w:r>
      <w:r>
        <w:t xml:space="preserve"> </w:t>
      </w:r>
      <w:r>
        <w:t xml:space="preserve">Representative cytometry results. CD45</w:t>
      </w:r>
      <w:r>
        <w:rPr>
          <w:vertAlign w:val="superscript"/>
        </w:rPr>
        <w:t xml:space="preserve">+</w:t>
      </w:r>
      <w:r>
        <w:t xml:space="preserve"> </w:t>
      </w:r>
      <w:r>
        <w:t xml:space="preserve">cells are presented.</w:t>
      </w:r>
    </w:p>
    <w:p>
      <w:pPr>
        <w:pStyle w:val="TextBody"/>
      </w:pPr>
      <w:r>
        <w:rPr>
          <w:b/>
        </w:rPr>
        <w:t xml:space="preserve">(B)</w:t>
      </w:r>
      <w:r>
        <w:t xml:space="preserve"> </w:t>
      </w:r>
      <w:r>
        <w:t xml:space="preserve">Summary plots. Kruskal-Wallis p values are indicated in the plot sub-heading, post-hoc test results are shown in the plot, numbers of complete observations are presented next to the plot. Each point represents a single observation, boxes represent medians with interquartile range (IQR), whiskers span over the 150% IQR range.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7260515"/>
            <wp:effectExtent b="0" l="0" r="0" t="0"/>
            <wp:docPr descr="Figure 7: Regulation of myeloid leukocyte CD64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myeloid-cd64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0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Regulation of myeloid leukocyte CD64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7</w:t>
      </w:r>
      <w:r>
        <w:rPr>
          <w:b/>
        </w:rPr>
        <w:t xml:space="preserve">. Regulation of myeloid leukocyte CD64 in healthy controls, moderate and severe COVID-19.</w:t>
      </w:r>
    </w:p>
    <w:p>
      <w:pPr>
        <w:pStyle w:val="TextBody"/>
      </w:pPr>
      <w:r>
        <w:t xml:space="preserve">Surface expression of CD64 was measured as delta median fluorescence intensity (</w:t>
      </w:r>
      <m:oMath>
        <m:r>
          <m:t>Δ</m:t>
        </m:r>
      </m:oMath>
      <w:r>
        <w:t xml:space="preserve">MFI) versus isotype staining in neutrophils, classical and intermediate monocytes (</w:t>
      </w:r>
      <w:r>
        <w:rPr>
          <w:b/>
        </w:rPr>
        <w:t xml:space="preserve">Supplementary Figure S</w:t>
      </w:r>
      <w:r>
        <w:rPr>
          <w:b/>
        </w:rPr>
        <w:t xml:space="preserve">1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S</w:t>
      </w:r>
      <w:r>
        <w:rPr>
          <w:b/>
        </w:rPr>
        <w:t xml:space="preserve">2</w:t>
      </w:r>
      <w:r>
        <w:t xml:space="preserve">) in healthy controls, moderate and severe COVID-19 patients. Statistical significance was determined by Kruskal-Wallis test with Mann-Whitney post-hoc test. Testing results were adjusted for multiple comparisons with Benjamini-Hochberg method.</w:t>
      </w:r>
    </w:p>
    <w:p>
      <w:pPr>
        <w:pStyle w:val="TextBody"/>
      </w:pPr>
      <w:r>
        <w:rPr>
          <w:b/>
        </w:rPr>
        <w:t xml:space="preserve">(A)</w:t>
      </w:r>
      <w:r>
        <w:t xml:space="preserve"> </w:t>
      </w:r>
      <w:r>
        <w:t xml:space="preserve">Representative cytometry results. Open histograms: isotype, tinted histograms: specific staining.</w:t>
      </w:r>
    </w:p>
    <w:p>
      <w:pPr>
        <w:pStyle w:val="TextBody"/>
      </w:pPr>
      <w:r>
        <w:rPr>
          <w:b/>
        </w:rPr>
        <w:t xml:space="preserve">(B)</w:t>
      </w:r>
      <w:r>
        <w:t xml:space="preserve"> </w:t>
      </w:r>
      <w:r>
        <w:t xml:space="preserve">Summary plots. Kruskal-Wallis p values are indicated in the plot sub-heading, post-hoc test results are shown in the plot, numbers of complete observations are presented next to the plot. Each point represents a single observation, boxes represent medians with interquartile range (IQR), whiskers span over the 150% IQR range.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4789842"/>
            <wp:effectExtent b="0" l="0" r="0" t="0"/>
            <wp:docPr descr="Figure 8: Regulation of monocyte CD86 in healthy controls, moderate and severe COVID-19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myeloid-cd86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9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Regulation of monocyte CD86 in healthy controls, moderate and severe COVID-19.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8</w:t>
      </w:r>
      <w:r>
        <w:rPr>
          <w:b/>
        </w:rPr>
        <w:t xml:space="preserve">. Regulation of monocyte CD86 in healthy controls, moderate and severe COVID-19.</w:t>
      </w:r>
    </w:p>
    <w:p>
      <w:pPr>
        <w:pStyle w:val="TextBody"/>
      </w:pPr>
      <w:r>
        <w:t xml:space="preserve">Surface expression of CD86 was measured as delta median fluorescence intensity (</w:t>
      </w:r>
      <m:oMath>
        <m:r>
          <m:t>Δ</m:t>
        </m:r>
      </m:oMath>
      <w:r>
        <w:t xml:space="preserve">MFI) versus isotype staining in classical and intermediate monocytes (</w:t>
      </w:r>
      <w:r>
        <w:rPr>
          <w:b/>
        </w:rPr>
        <w:t xml:space="preserve">Supplementary Figure S</w:t>
      </w:r>
      <w:r>
        <w:rPr>
          <w:b/>
        </w:rPr>
        <w:t xml:space="preserve">2</w:t>
      </w:r>
      <w:r>
        <w:t xml:space="preserve">) in healthy controls, moderate and severe COVID-19 patients. Statistical significance was determined by Kruskal-Wallis test with Mann-Whitney post-hoc test. Testing results were adjusted for multiple comparisons with Benjamini-Hochberg method.</w:t>
      </w:r>
    </w:p>
    <w:p>
      <w:pPr>
        <w:pStyle w:val="TextBody"/>
      </w:pPr>
      <w:r>
        <w:rPr>
          <w:b/>
        </w:rPr>
        <w:t xml:space="preserve">(A)</w:t>
      </w:r>
      <w:r>
        <w:t xml:space="preserve"> </w:t>
      </w:r>
      <w:r>
        <w:t xml:space="preserve">Representative cytometry results. Open histograms: isotype, tinted histograms: specific staining.</w:t>
      </w:r>
    </w:p>
    <w:p>
      <w:pPr>
        <w:pStyle w:val="TextBody"/>
      </w:pPr>
      <w:r>
        <w:rPr>
          <w:b/>
        </w:rPr>
        <w:t xml:space="preserve">(B)</w:t>
      </w:r>
      <w:r>
        <w:t xml:space="preserve"> </w:t>
      </w:r>
      <w:r>
        <w:t xml:space="preserve">Summary plots. Kruskal-Wallis p values are indicated in the plot sub-heading, post-hoc test results are shown in the plot, numbers of complete observations are presented next to the plot. Each point represents a single observation, boxes represent medians with interquartile range (IQR), whiskers span over the 150% IQR range.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7260515"/>
            <wp:effectExtent b="0" l="0" r="0" t="0"/>
            <wp:docPr descr="Figure 9: Training and clustering of self-organizing maps." title="" id="1" name="Picture"/>
            <a:graphic>
              <a:graphicData uri="http://schemas.openxmlformats.org/drawingml/2006/picture">
                <pic:pic>
                  <pic:nvPicPr>
                    <pic:cNvPr descr="supplementary_material_revision_files/figure-docx/fig-cluster-qc-1.pd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0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Training and clustering of self-organizing maps.</w:t>
      </w:r>
    </w:p>
    <w:p>
      <w:pPr>
        <w:pStyle w:val="TextBody"/>
      </w:pPr>
      <w:r>
        <w:rPr>
          <w:b/>
        </w:rPr>
        <w:t xml:space="preserve">Supplementary Figure S</w:t>
      </w:r>
      <w:r>
        <w:rPr>
          <w:b/>
        </w:rPr>
        <w:t xml:space="preserve">9</w:t>
      </w:r>
      <w:r>
        <w:rPr>
          <w:b/>
        </w:rPr>
        <w:t xml:space="preserve">. Training and clustering of self-organizing maps.</w:t>
      </w:r>
    </w:p>
    <w:p>
      <w:pPr>
        <w:pStyle w:val="TextBody"/>
      </w:pPr>
      <w:r>
        <w:t xml:space="preserve">Flow cytometry parameters (</w:t>
      </w:r>
      <w:r>
        <w:rPr>
          <w:b/>
        </w:rPr>
        <w:t xml:space="preserve">Supplementary Table S</w:t>
      </w:r>
      <w:r>
        <w:rPr>
          <w:b/>
        </w:rPr>
        <w:t xml:space="preserve">3</w:t>
      </w:r>
      <w:r>
        <w:t xml:space="preserve">) and study participants were subjected to self-organizing map (SOM) dimensionality reduction (5</w:t>
      </w:r>
      <w:r>
        <w:t xml:space="preserve"> </w:t>
      </w:r>
      <m:oMath>
        <m:r>
          <m:t>×</m:t>
        </m:r>
      </m:oMath>
      <w:r>
        <w:t xml:space="preserve"> </w:t>
      </w:r>
      <w:r>
        <w:t xml:space="preserve">5 hexagonal grid, cosine distance between the observations) followed by SOM node clustering with Ward D2 algorithm (cosine distance between the nodes).</w:t>
      </w:r>
    </w:p>
    <w:p>
      <w:pPr>
        <w:pStyle w:val="TextBody"/>
      </w:pPr>
      <w:r>
        <w:rPr>
          <w:b/>
        </w:rPr>
        <w:t xml:space="preserve">(A)</w:t>
      </w:r>
      <w:r>
        <w:t xml:space="preserve"> </w:t>
      </w:r>
      <w:r>
        <w:t xml:space="preserve">SOM training process for the cytometry parameters and study participants. Mean distance to the SOM winning unit as a function of algorithm iteration is presented. Each point represents a single iteration blue lines depict LOESS (locally weighted scatterplot smoothing) trends.</w:t>
      </w:r>
    </w:p>
    <w:p>
      <w:pPr>
        <w:pStyle w:val="TextBody"/>
      </w:pPr>
      <w:r>
        <w:rPr>
          <w:b/>
        </w:rPr>
        <w:t xml:space="preserve">(B)</w:t>
      </w:r>
      <w:r>
        <w:t xml:space="preserve"> </w:t>
      </w:r>
      <w:r>
        <w:t xml:space="preserve">Clustering of the SOM nodes for the cytometry parameters and study participants. Total within cluster sum-of-squares are shown as a function of cluster numbers. Red lines indicate the selected optimal number of clusters.</w:t>
      </w:r>
    </w:p>
    <w:p>
      <w:pPr>
        <w:pStyle w:val="TextBody"/>
      </w:pPr>
      <w:r>
        <w:rPr>
          <w:b/>
        </w:rPr>
        <w:t xml:space="preserve">(C)</w:t>
      </w:r>
      <w:r>
        <w:t xml:space="preserve"> </w:t>
      </w:r>
      <w:r>
        <w:t xml:space="preserve">Clustering of the SOM nodes for the cytometry parameters and study participants. Node clustering dendrograms are presented.</w:t>
      </w:r>
    </w:p>
    <w:sectPr>
      <w:footnotePr>
        <w:numFmt w:val="decimal"/>
      </w:footnote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100" w:charSpace="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Calibri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7">
    <w:name w:val="Heading 7"/>
    <w:basedOn w:val="Normal"/>
    <w:next w:val="TextBody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8">
    <w:name w:val="Heading 8"/>
    <w:basedOn w:val="Normal"/>
    <w:next w:val="TextBody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9">
    <w:name w:val="Heading 9"/>
    <w:basedOn w:val="Normal"/>
    <w:next w:val="TextBody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204A87"/>
      <w:shd w:fill="F8F8F8" w:val="clear"/>
    </w:rPr>
  </w:style>
  <w:style w:type="character" w:styleId="DataTypeTok" w:customStyle="1">
    <w:name w:val="DataTypeTok"/>
    <w:basedOn w:val="VerbatimChar"/>
    <w:qFormat/>
    <w:rPr>
      <w:color w:val="204A87"/>
      <w:shd w:fill="F8F8F8" w:val="clear"/>
    </w:rPr>
  </w:style>
  <w:style w:type="character" w:styleId="DecValTok" w:customStyle="1">
    <w:name w:val="DecValTok"/>
    <w:basedOn w:val="VerbatimChar"/>
    <w:qFormat/>
    <w:rPr>
      <w:color w:val="0000CF"/>
      <w:shd w:fill="F8F8F8" w:val="clear"/>
    </w:rPr>
  </w:style>
  <w:style w:type="character" w:styleId="BaseNTok" w:customStyle="1">
    <w:name w:val="BaseNTok"/>
    <w:basedOn w:val="VerbatimChar"/>
    <w:qFormat/>
    <w:rPr>
      <w:color w:val="0000CF"/>
      <w:shd w:fill="F8F8F8" w:val="clear"/>
    </w:rPr>
  </w:style>
  <w:style w:type="character" w:styleId="FloatTok" w:customStyle="1">
    <w:name w:val="FloatTok"/>
    <w:basedOn w:val="VerbatimChar"/>
    <w:qFormat/>
    <w:rPr>
      <w:color w:val="0000CF"/>
      <w:shd w:fill="F8F8F8" w:val="clear"/>
    </w:rPr>
  </w:style>
  <w:style w:type="character" w:styleId="ConstantTok" w:customStyle="1">
    <w:name w:val="ConstantTok"/>
    <w:basedOn w:val="VerbatimChar"/>
    <w:qFormat/>
    <w:rPr>
      <w:color w:val="000000"/>
      <w:shd w:fill="F8F8F8" w:val="clear"/>
    </w:rPr>
  </w:style>
  <w:style w:type="character" w:styleId="CharTok" w:customStyle="1">
    <w:name w:val="CharTok"/>
    <w:basedOn w:val="VerbatimChar"/>
    <w:qFormat/>
    <w:rPr>
      <w:color w:val="4E9A06"/>
      <w:shd w:fill="F8F8F8" w:val="clear"/>
    </w:rPr>
  </w:style>
  <w:style w:type="character" w:styleId="SpecialCharTok" w:customStyle="1">
    <w:name w:val="SpecialCharTok"/>
    <w:basedOn w:val="VerbatimChar"/>
    <w:qFormat/>
    <w:rPr>
      <w:color w:val="000000"/>
      <w:shd w:fill="F8F8F8" w:val="clear"/>
    </w:rPr>
  </w:style>
  <w:style w:type="character" w:styleId="StringTok" w:customStyle="1">
    <w:name w:val="StringTok"/>
    <w:basedOn w:val="VerbatimChar"/>
    <w:qFormat/>
    <w:rPr>
      <w:color w:val="4E9A06"/>
      <w:shd w:fill="F8F8F8" w:val="clear"/>
    </w:rPr>
  </w:style>
  <w:style w:type="character" w:styleId="VerbatimStringTok" w:customStyle="1">
    <w:name w:val="VerbatimStringTok"/>
    <w:basedOn w:val="VerbatimChar"/>
    <w:qFormat/>
    <w:rPr>
      <w:color w:val="4E9A06"/>
      <w:shd w:fill="F8F8F8" w:val="clear"/>
    </w:rPr>
  </w:style>
  <w:style w:type="character" w:styleId="SpecialStringTok" w:customStyle="1">
    <w:name w:val="SpecialStringTok"/>
    <w:basedOn w:val="VerbatimChar"/>
    <w:qFormat/>
    <w:rPr>
      <w:color w:val="4E9A06"/>
      <w:shd w:fill="F8F8F8" w:val="clear"/>
    </w:rPr>
  </w:style>
  <w:style w:type="character" w:styleId="ImportTok" w:customStyle="1">
    <w:name w:val="ImportTok"/>
    <w:basedOn w:val="VerbatimChar"/>
    <w:qFormat/>
    <w:rPr>
      <w:shd w:fill="F8F8F8" w:val="clear"/>
    </w:rPr>
  </w:style>
  <w:style w:type="character" w:styleId="CommentTok" w:customStyle="1">
    <w:name w:val="CommentTok"/>
    <w:basedOn w:val="VerbatimChar"/>
    <w:qFormat/>
    <w:rPr>
      <w:i/>
      <w:color w:val="8F5902"/>
      <w:shd w:fill="F8F8F8" w:val="clear"/>
    </w:rPr>
  </w:style>
  <w:style w:type="character" w:styleId="DocumentationTok" w:customStyle="1">
    <w:name w:val="DocumentationTok"/>
    <w:basedOn w:val="VerbatimChar"/>
    <w:qFormat/>
    <w:rPr>
      <w:b/>
      <w:i/>
      <w:color w:val="8F5902"/>
      <w:shd w:fill="F8F8F8" w:val="clear"/>
    </w:rPr>
  </w:style>
  <w:style w:type="character" w:styleId="AnnotationTok" w:customStyle="1">
    <w:name w:val="AnnotationTok"/>
    <w:basedOn w:val="VerbatimChar"/>
    <w:qFormat/>
    <w:rPr>
      <w:b/>
      <w:i/>
      <w:color w:val="8F5902"/>
      <w:shd w:fill="F8F8F8" w:val="clear"/>
    </w:rPr>
  </w:style>
  <w:style w:type="character" w:styleId="CommentVarTok" w:customStyle="1">
    <w:name w:val="CommentVarTok"/>
    <w:basedOn w:val="VerbatimChar"/>
    <w:qFormat/>
    <w:rPr>
      <w:b/>
      <w:i/>
      <w:color w:val="8F5902"/>
      <w:shd w:fill="F8F8F8" w:val="clear"/>
    </w:rPr>
  </w:style>
  <w:style w:type="character" w:styleId="OtherTok" w:customStyle="1">
    <w:name w:val="OtherTok"/>
    <w:basedOn w:val="VerbatimChar"/>
    <w:qFormat/>
    <w:rPr>
      <w:color w:val="8F5902"/>
      <w:shd w:fill="F8F8F8" w:val="clear"/>
    </w:rPr>
  </w:style>
  <w:style w:type="character" w:styleId="FunctionTok" w:customStyle="1">
    <w:name w:val="FunctionTok"/>
    <w:basedOn w:val="VerbatimChar"/>
    <w:qFormat/>
    <w:rPr>
      <w:color w:val="000000"/>
      <w:shd w:fill="F8F8F8" w:val="clear"/>
    </w:rPr>
  </w:style>
  <w:style w:type="character" w:styleId="VariableTok" w:customStyle="1">
    <w:name w:val="VariableTok"/>
    <w:basedOn w:val="VerbatimChar"/>
    <w:qFormat/>
    <w:rPr>
      <w:color w:val="000000"/>
      <w:shd w:fill="F8F8F8" w:val="clear"/>
    </w:rPr>
  </w:style>
  <w:style w:type="character" w:styleId="ControlFlowTok" w:customStyle="1">
    <w:name w:val="ControlFlowTok"/>
    <w:basedOn w:val="VerbatimChar"/>
    <w:qFormat/>
    <w:rPr>
      <w:b/>
      <w:color w:val="204A87"/>
      <w:shd w:fill="F8F8F8" w:val="clear"/>
    </w:rPr>
  </w:style>
  <w:style w:type="character" w:styleId="OperatorTok" w:customStyle="1">
    <w:name w:val="OperatorTok"/>
    <w:basedOn w:val="VerbatimChar"/>
    <w:qFormat/>
    <w:rPr>
      <w:b/>
      <w:color w:val="CE5C00"/>
      <w:shd w:fill="F8F8F8" w:val="clear"/>
    </w:rPr>
  </w:style>
  <w:style w:type="character" w:styleId="BuiltInTok" w:customStyle="1">
    <w:name w:val="BuiltInTok"/>
    <w:basedOn w:val="VerbatimChar"/>
    <w:qFormat/>
    <w:rPr>
      <w:shd w:fill="F8F8F8" w:val="clear"/>
    </w:rPr>
  </w:style>
  <w:style w:type="character" w:styleId="ExtensionTok" w:customStyle="1">
    <w:name w:val="ExtensionTok"/>
    <w:basedOn w:val="VerbatimChar"/>
    <w:qFormat/>
    <w:rPr>
      <w:shd w:fill="F8F8F8" w:val="clear"/>
    </w:rPr>
  </w:style>
  <w:style w:type="character" w:styleId="PreprocessorTok" w:customStyle="1">
    <w:name w:val="PreprocessorTok"/>
    <w:basedOn w:val="VerbatimChar"/>
    <w:qFormat/>
    <w:rPr>
      <w:i/>
      <w:color w:val="8F5902"/>
      <w:shd w:fill="F8F8F8" w:val="clear"/>
    </w:rPr>
  </w:style>
  <w:style w:type="character" w:styleId="AttributeTok" w:customStyle="1">
    <w:name w:val="AttributeTok"/>
    <w:basedOn w:val="VerbatimChar"/>
    <w:qFormat/>
    <w:rPr>
      <w:color w:val="C4A000"/>
      <w:shd w:fill="F8F8F8" w:val="clear"/>
    </w:rPr>
  </w:style>
  <w:style w:type="character" w:styleId="RegionMarkerTok" w:customStyle="1">
    <w:name w:val="RegionMarkerTok"/>
    <w:basedOn w:val="VerbatimChar"/>
    <w:qFormat/>
    <w:rPr>
      <w:shd w:fill="F8F8F8" w:val="clear"/>
    </w:rPr>
  </w:style>
  <w:style w:type="character" w:styleId="InformationTok" w:customStyle="1">
    <w:name w:val="InformationTok"/>
    <w:basedOn w:val="VerbatimChar"/>
    <w:qFormat/>
    <w:rPr>
      <w:b/>
      <w:i/>
      <w:color w:val="8F5902"/>
      <w:shd w:fill="F8F8F8" w:val="clear"/>
    </w:rPr>
  </w:style>
  <w:style w:type="character" w:styleId="WarningTok" w:customStyle="1">
    <w:name w:val="WarningTok"/>
    <w:basedOn w:val="VerbatimChar"/>
    <w:qFormat/>
    <w:rPr>
      <w:b/>
      <w:i/>
      <w:color w:val="8F5902"/>
      <w:shd w:fill="F8F8F8" w:val="clear"/>
    </w:rPr>
  </w:style>
  <w:style w:type="character" w:styleId="AlertTok" w:customStyle="1">
    <w:name w:val="AlertTok"/>
    <w:basedOn w:val="VerbatimChar"/>
    <w:qFormat/>
    <w:rPr>
      <w:color w:val="EF2929"/>
      <w:shd w:fill="F8F8F8" w:val="clear"/>
    </w:rPr>
  </w:style>
  <w:style w:type="character" w:styleId="ErrorTok" w:customStyle="1">
    <w:name w:val="ErrorTok"/>
    <w:basedOn w:val="VerbatimChar"/>
    <w:qFormat/>
    <w:rPr>
      <w:b/>
      <w:color w:val="A40000"/>
      <w:shd w:fill="F8F8F8" w:val="clear"/>
    </w:rPr>
  </w:style>
  <w:style w:type="character" w:styleId="NormalTok" w:customStyle="1">
    <w:name w:val="NormalTok"/>
    <w:basedOn w:val="VerbatimChar"/>
    <w:qFormat/>
    <w:rPr>
      <w:shd w:fill="F8F8F8" w:val="clear"/>
    </w:rPr>
  </w:style>
  <w:style w:type="character" w:styleId="EndnoteAnchor">
    <w:name w:val="Endnote Anchor"/>
    <w:rPr>
      <w:vertAlign w:val="superscript"/>
    </w:rPr>
  </w:style>
  <w:style w:type="character" w:styleId="EndnoteCharacters">
    <w:name w:val="Endnote Characters"/>
    <w:qFormat/>
    <w:rPr/>
  </w:style>
  <w:style w:type="character" w:styleId="Revision">
    <w:name w:val="revision"/>
    <w:qFormat/>
    <w:rPr>
      <w:color w:val="C9211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TextBody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hanging="0"/>
    </w:pPr>
    <w:rPr>
      <w:rFonts w:ascii="Calibri" w:hAnsi="Calibri" w:eastAsia="" w:cs="" w:asciiTheme="majorHAnsi" w:cstheme="majorBidi" w:eastAsiaTheme="majorEastAsia" w:hAnsiTheme="majorHAnsi"/>
      <w:bCs/>
      <w:sz w:val="20"/>
      <w:szCs w:val="20"/>
    </w:rPr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TOCHeading">
    <w:name w:val="TOC Heading"/>
    <w:basedOn w:val="Heading1"/>
    <w:next w:val="TextBody"/>
    <w:uiPriority w:val="39"/>
    <w:unhideWhenUsed/>
    <w:qFormat/>
    <w:pPr>
      <w:spacing w:lineRule="auto" w:line="259" w:before="240" w:after="0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>
      <w:shd w:val="clear" w:fill="F8F8F8"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df" /><Relationship Type="http://schemas.openxmlformats.org/officeDocument/2006/relationships/image" Id="rId26" Target="media/rId26.pdf" /><Relationship Type="http://schemas.openxmlformats.org/officeDocument/2006/relationships/image" Id="rId27" Target="media/rId27.pdf" /><Relationship Type="http://schemas.openxmlformats.org/officeDocument/2006/relationships/image" Id="rId30" Target="media/rId30.pdf" /><Relationship Type="http://schemas.openxmlformats.org/officeDocument/2006/relationships/image" Id="rId22" Target="media/rId22.pdf" /><Relationship Type="http://schemas.openxmlformats.org/officeDocument/2006/relationships/image" Id="rId23" Target="media/rId23.pdf" /><Relationship Type="http://schemas.openxmlformats.org/officeDocument/2006/relationships/image" Id="rId28" Target="media/rId28.pdf" /><Relationship Type="http://schemas.openxmlformats.org/officeDocument/2006/relationships/image" Id="rId29" Target="media/rId29.pdf" /><Relationship Type="http://schemas.openxmlformats.org/officeDocument/2006/relationships/image" Id="rId24" Target="media/rId24.pdf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Application>LibreOffice/7.0.5.2$Windows_X86_64 LibreOffice_project/64390860c6cd0aca4beafafcfd84613dd9dfb63a</Application>
  <AppVersion>15.0000</AppVersion>
  <Pages>3</Pages>
  <Words>357</Words>
  <Characters>2322</Characters>
  <CharactersWithSpaces>2664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Alterations of blood monocyte subset distribution and surface phenotype are linked to infection severity in COVID-19 inpatients</dc:title>
  <dc:creator/>
  <cp:keywords/>
  <dcterms:created xsi:type="dcterms:W3CDTF">2022-03-25T08:56:33Z</dcterms:created>
  <dcterms:modified xsi:type="dcterms:W3CDTF">2022-03-25T08:56:33Z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cov_biblio.bib</vt:lpwstr>
  </property>
  <property fmtid="{D5CDD505-2E9C-101B-9397-08002B2CF9AE}" pid="3" name="csl">
    <vt:lpwstr>european-journal-of-immunology.csl</vt:lpwstr>
  </property>
  <property fmtid="{D5CDD505-2E9C-101B-9397-08002B2CF9AE}" pid="4" name="date">
    <vt:lpwstr>2022-03-25</vt:lpwstr>
  </property>
  <property fmtid="{D5CDD505-2E9C-101B-9397-08002B2CF9AE}" pid="5" name="header-includes">
    <vt:lpwstr> </vt:lpwstr>
  </property>
  <property fmtid="{D5CDD505-2E9C-101B-9397-08002B2CF9AE}" pid="6" name="output">
    <vt:lpwstr/>
  </property>
  <property fmtid="{D5CDD505-2E9C-101B-9397-08002B2CF9AE}" pid="7" name="subtitle">
    <vt:lpwstr>Supplementary Material</vt:lpwstr>
  </property>
</Properties>
</file>